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06"/>
        <w:gridCol w:w="30"/>
        <w:gridCol w:w="209"/>
        <w:gridCol w:w="1552"/>
        <w:gridCol w:w="7634"/>
      </w:tblGrid>
      <w:tr>
        <w:trPr>
          <w:trHeight w:val="142"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484"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hMerge w:val="restart"/>
          </w:tcPr>
          <w:tbl>
            <w:tblPr>
              <w:tblCellMar>
                <w:top w:w="0" w:type="dxa"/>
                <w:left w:w="0" w:type="dxa"/>
                <w:bottom w:w="0" w:type="dxa"/>
                <w:right w:w="0" w:type="dxa"/>
              </w:tblCellMar>
            </w:tblPr>
            <w:tblGrid>
              <w:gridCol w:w="9396"/>
            </w:tblGrid>
            <w:tr>
              <w:trPr>
                <w:trHeight w:val="406" w:hRule="atLeast"/>
              </w:trPr>
              <w:tc>
                <w:tcPr>
                  <w:tcW w:w="939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8"/>
                    </w:rPr>
                    <w:t xml:space="preserve">Informe del registre d'activitats de tractament</w:t>
                  </w:r>
                </w:p>
              </w:tc>
            </w:tr>
          </w:tbl>
          <w:p>
            <w:pPr>
              <w:spacing w:after="0" w:line="240" w:lineRule="auto"/>
            </w:pPr>
          </w:p>
        </w:tc>
        <w:tc>
          <w:tcPr>
            <w:tcW w:w="1552" w:type="dxa"/>
            <w:hMerge w:val="continue"/>
          </w:tcPr>
          <w:p>
            <w:pPr>
              <w:pStyle w:val="EmptyCellLayoutStyle"/>
              <w:spacing w:after="0" w:line="240" w:lineRule="auto"/>
            </w:pPr>
          </w:p>
        </w:tc>
        <w:tc>
          <w:tcPr>
            <w:tcW w:w="7634" w:type="dxa"/>
            <w:hMerge w:val="continue"/>
          </w:tcPr>
          <w:p>
            <w:pPr>
              <w:pStyle w:val="EmptyCellLayoutStyle"/>
              <w:spacing w:after="0" w:line="240" w:lineRule="auto"/>
            </w:pPr>
          </w:p>
        </w:tc>
      </w:tr>
      <w:tr>
        <w:trPr>
          <w:trHeight w:val="190"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365" w:hRule="atLeast"/>
        </w:trPr>
        <w:tc>
          <w:tcPr>
            <w:tcW w:w="206" w:type="dxa"/>
          </w:tcPr>
          <w:p>
            <w:pPr>
              <w:pStyle w:val="EmptyCellLayoutStyle"/>
              <w:spacing w:after="0" w:line="240" w:lineRule="auto"/>
            </w:pPr>
          </w:p>
        </w:tc>
        <w:tc>
          <w:tcPr>
            <w:tcW w:w="30" w:type="dxa"/>
            <w:hMerge w:val="restart"/>
          </w:tcPr>
          <w:tbl>
            <w:tblPr>
              <w:tblCellMar>
                <w:top w:w="0" w:type="dxa"/>
                <w:left w:w="0" w:type="dxa"/>
                <w:bottom w:w="0" w:type="dxa"/>
                <w:right w:w="0" w:type="dxa"/>
              </w:tblCellMar>
            </w:tblPr>
            <w:tblGrid>
              <w:gridCol w:w="1792"/>
            </w:tblGrid>
            <w:tr>
              <w:trPr>
                <w:trHeight w:val="287" w:hRule="atLeast"/>
              </w:trPr>
              <w:tc>
                <w:tcPr>
                  <w:tcW w:w="179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Índex</w:t>
                  </w:r>
                </w:p>
              </w:tc>
            </w:tr>
          </w:tbl>
          <w:p>
            <w:pPr>
              <w:spacing w:after="0" w:line="240" w:lineRule="auto"/>
            </w:pPr>
          </w:p>
        </w:tc>
        <w:tc>
          <w:tcPr>
            <w:tcW w:w="209" w:type="dxa"/>
            <w:hMerge w:val="continue"/>
          </w:tcPr>
          <w:p>
            <w:pPr>
              <w:pStyle w:val="EmptyCellLayoutStyle"/>
              <w:spacing w:after="0" w:line="240" w:lineRule="auto"/>
            </w:pPr>
          </w:p>
        </w:tc>
        <w:tc>
          <w:tcPr>
            <w:tcW w:w="1552" w:type="dxa"/>
            <w:hMerge w:val="continue"/>
          </w:tcPr>
          <w:p>
            <w:pPr>
              <w:pStyle w:val="EmptyCellLayoutStyle"/>
              <w:spacing w:after="0" w:line="240" w:lineRule="auto"/>
            </w:pPr>
          </w:p>
        </w:tc>
        <w:tc>
          <w:tcPr>
            <w:tcW w:w="7634" w:type="dxa"/>
          </w:tcPr>
          <w:p>
            <w:pPr>
              <w:pStyle w:val="EmptyCellLayoutStyle"/>
              <w:spacing w:after="0" w:line="240" w:lineRule="auto"/>
            </w:pPr>
          </w:p>
        </w:tc>
      </w:tr>
      <w:tr>
        <w:trPr>
          <w:trHeight w:val="174"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340"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hMerge w:val="restart"/>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"Responsable" </w:instrText>
                  </w:r>
                  <w:r>
                    <w:fldChar w:fldCharType="separate" w:fldLock="0" w:dirty="0"/>
                  </w:r>
                  <w:r>
                    <w:rPr>
                      <w:rFonts w:ascii="Arial" w:hAnsi="Arial" w:eastAsia="Arial"/>
                      <w:color w:val="0000FF"/>
                      <w:sz w:val="20"/>
                      <w:u w:val="single"/>
                    </w:rPr>
                    <w:t xml:space="preserve">Parts intervinents</w:t>
                  </w:r>
                  <w:r>
                    <w:fldChar w:fldCharType="end" w:fldLock="0" w:dirty="0"/>
                  </w:r>
                </w:p>
              </w:tc>
            </w:tr>
          </w:tbl>
          <w:p>
            <w:pPr>
              <w:spacing w:after="0" w:line="240" w:lineRule="auto"/>
            </w:pPr>
          </w:p>
        </w:tc>
        <w:tc>
          <w:tcPr>
            <w:tcW w:w="7634" w:type="dxa"/>
            <w:hMerge w:val="continue"/>
          </w:tcPr>
          <w:p>
            <w:pPr>
              <w:pStyle w:val="EmptyCellLayoutStyle"/>
              <w:spacing w:after="0" w:line="240" w:lineRule="auto"/>
            </w:pPr>
          </w:p>
        </w:tc>
      </w:tr>
      <w:tr>
        <w:trPr>
          <w:trHeight w:val="197"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86"/>
            </w:tblGrid>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"ADMINISTRACIÓ_I_GESTIÓ_COMPTABLE_CPNL" </w:instrText>
                              </w:r>
                              <w:r>
                                <w:fldChar w:fldCharType="separate" w:fldLock="0" w:dirty="0"/>
                              </w:r>
                              <w:r>
                                <w:rPr>
                                  <w:rFonts w:ascii="Arial" w:hAnsi="Arial" w:eastAsia="Arial"/>
                                  <w:color w:val="0000FF"/>
                                  <w:sz w:val="20"/>
                                  <w:u w:val="single"/>
                                </w:rPr>
                                <w:t xml:space="preserve">ADMINISTRACIÓ I GESTIÓ COMPTABLE CPNL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"BORSA_DE_TREBALL" </w:instrText>
                              </w:r>
                              <w:r>
                                <w:fldChar w:fldCharType="separate" w:fldLock="0" w:dirty="0"/>
                              </w:r>
                              <w:r>
                                <w:rPr>
                                  <w:rFonts w:ascii="Arial" w:hAnsi="Arial" w:eastAsia="Arial"/>
                                  <w:color w:val="0000FF"/>
                                  <w:sz w:val="20"/>
                                  <w:u w:val="single"/>
                                </w:rPr>
                                <w:t xml:space="preserve">BORSA DE TREBALL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"BUTLLETINS" </w:instrText>
                              </w:r>
                              <w:r>
                                <w:fldChar w:fldCharType="separate" w:fldLock="0" w:dirty="0"/>
                              </w:r>
                              <w:r>
                                <w:rPr>
                                  <w:rFonts w:ascii="Arial" w:hAnsi="Arial" w:eastAsia="Arial"/>
                                  <w:color w:val="0000FF"/>
                                  <w:sz w:val="20"/>
                                  <w:u w:val="single"/>
                                </w:rPr>
                                <w:t xml:space="preserve">BUTLLETINS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"CONCURSOS,_PROMOCIONS,_ACTES,_ACTIVITATS" </w:instrText>
                              </w:r>
                              <w:r>
                                <w:fldChar w:fldCharType="separate" w:fldLock="0" w:dirty="0"/>
                              </w:r>
                              <w:r>
                                <w:rPr>
                                  <w:rFonts w:ascii="Arial" w:hAnsi="Arial" w:eastAsia="Arial"/>
                                  <w:color w:val="0000FF"/>
                                  <w:sz w:val="20"/>
                                  <w:u w:val="single"/>
                                </w:rPr>
                                <w:t xml:space="preserve">CONCURSOS, PROMOCIONS, ACTES, ACTIVITATS I ESDEVENIMENTS CULTURALS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"CONTROL_D’ACCÉS_I_DE_PRESÈNCIA" </w:instrText>
                              </w:r>
                              <w:r>
                                <w:fldChar w:fldCharType="separate" w:fldLock="0" w:dirty="0"/>
                              </w:r>
                              <w:r>
                                <w:rPr>
                                  <w:rFonts w:ascii="Arial" w:hAnsi="Arial" w:eastAsia="Arial"/>
                                  <w:color w:val="0000FF"/>
                                  <w:sz w:val="20"/>
                                  <w:u w:val="single"/>
                                </w:rPr>
                                <w:t xml:space="preserve">CONTROL D’ACCÉS I DE PRESÈNCIA</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"GESTIÓ_D’ACTIVITATS_DE_DINAMITZACIÓ_I_FO" </w:instrText>
                              </w:r>
                              <w:r>
                                <w:fldChar w:fldCharType="separate" w:fldLock="0" w:dirty="0"/>
                              </w:r>
                              <w:r>
                                <w:rPr>
                                  <w:rFonts w:ascii="Arial" w:hAnsi="Arial" w:eastAsia="Arial"/>
                                  <w:color w:val="0000FF"/>
                                  <w:sz w:val="20"/>
                                  <w:u w:val="single"/>
                                </w:rPr>
                                <w:t xml:space="preserve">GESTIÓ D’ACTIVITATS DE DINAMITZACIÓ I FOMENT</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"GESTIÓ_D’IMATGES" </w:instrText>
                              </w:r>
                              <w:r>
                                <w:fldChar w:fldCharType="separate" w:fldLock="0" w:dirty="0"/>
                              </w:r>
                              <w:r>
                                <w:rPr>
                                  <w:rFonts w:ascii="Arial" w:hAnsi="Arial" w:eastAsia="Arial"/>
                                  <w:color w:val="0000FF"/>
                                  <w:sz w:val="20"/>
                                  <w:u w:val="single"/>
                                </w:rPr>
                                <w:t xml:space="preserve">GESTIÓ D’IMATGES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"GESTIÓ_D'ACTIVITATS_FORMATIVES" </w:instrText>
                              </w:r>
                              <w:r>
                                <w:fldChar w:fldCharType="separate" w:fldLock="0" w:dirty="0"/>
                              </w:r>
                              <w:r>
                                <w:rPr>
                                  <w:rFonts w:ascii="Arial" w:hAnsi="Arial" w:eastAsia="Arial"/>
                                  <w:color w:val="0000FF"/>
                                  <w:sz w:val="20"/>
                                  <w:u w:val="single"/>
                                </w:rPr>
                                <w:t xml:space="preserve">GESTIÓ D'ACTIVITATS FORMATIVES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"GESTIÓ_DE_CONVENIS,_PROTOCOLS,_ADHESIONS" </w:instrText>
                              </w:r>
                              <w:r>
                                <w:fldChar w:fldCharType="separate" w:fldLock="0" w:dirty="0"/>
                              </w:r>
                              <w:r>
                                <w:rPr>
                                  <w:rFonts w:ascii="Arial" w:hAnsi="Arial" w:eastAsia="Arial"/>
                                  <w:color w:val="0000FF"/>
                                  <w:sz w:val="20"/>
                                  <w:u w:val="single"/>
                                </w:rPr>
                                <w:t xml:space="preserve">GESTIÓ DE CONVENIS, PROTOCOLS, ADHESIONS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"GESTIÓ_DE_PETICIONS_DE_L’EXERCICI_D’ACCÉ" </w:instrText>
                              </w:r>
                              <w:r>
                                <w:fldChar w:fldCharType="separate" w:fldLock="0" w:dirty="0"/>
                              </w:r>
                              <w:r>
                                <w:rPr>
                                  <w:rFonts w:ascii="Arial" w:hAnsi="Arial" w:eastAsia="Arial"/>
                                  <w:color w:val="0000FF"/>
                                  <w:sz w:val="20"/>
                                  <w:u w:val="single"/>
                                </w:rPr>
                                <w:t xml:space="preserve">GESTIÓ DE PETICIONS DE L’EXERCICI D’ACCÉS A LA INFORMACIÓ PÚBLICA</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"GESTIÓ_DE_SOL·LICITUDS_D’INFORMACIÓ_DIVE" </w:instrText>
                              </w:r>
                              <w:r>
                                <w:fldChar w:fldCharType="separate" w:fldLock="0" w:dirty="0"/>
                              </w:r>
                              <w:r>
                                <w:rPr>
                                  <w:rFonts w:ascii="Arial" w:hAnsi="Arial" w:eastAsia="Arial"/>
                                  <w:color w:val="0000FF"/>
                                  <w:sz w:val="20"/>
                                  <w:u w:val="single"/>
                                </w:rPr>
                                <w:t xml:space="preserve">GESTIÓ DE SOL·LICITUDS D’INFORMACIÓ DIVERSA, CONSULTES, QUEIXES I SUGGERIMENTS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"Gestió_dels_òrgans_de_govern_i_col·legia" </w:instrText>
                              </w:r>
                              <w:r>
                                <w:fldChar w:fldCharType="separate" w:fldLock="0" w:dirty="0"/>
                              </w:r>
                              <w:r>
                                <w:rPr>
                                  <w:rFonts w:ascii="Arial" w:hAnsi="Arial" w:eastAsia="Arial"/>
                                  <w:color w:val="0000FF"/>
                                  <w:sz w:val="20"/>
                                  <w:u w:val="single"/>
                                </w:rPr>
                                <w:t xml:space="preserve">Gestió dels òrgans de govern i col·legiats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"PROMOCIÓ_I_DIFUSIÓ" </w:instrText>
                              </w:r>
                              <w:r>
                                <w:fldChar w:fldCharType="separate" w:fldLock="0" w:dirty="0"/>
                              </w:r>
                              <w:r>
                                <w:rPr>
                                  <w:rFonts w:ascii="Arial" w:hAnsi="Arial" w:eastAsia="Arial"/>
                                  <w:color w:val="0000FF"/>
                                  <w:sz w:val="20"/>
                                  <w:u w:val="single"/>
                                </w:rPr>
                                <w:t xml:space="preserve">PROMOCIÓ I DIFUSIÓ</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"RECURSOS_HUMANS_CPNL" </w:instrText>
                              </w:r>
                              <w:r>
                                <w:fldChar w:fldCharType="separate" w:fldLock="0" w:dirty="0"/>
                              </w:r>
                              <w:r>
                                <w:rPr>
                                  <w:rFonts w:ascii="Arial" w:hAnsi="Arial" w:eastAsia="Arial"/>
                                  <w:color w:val="0000FF"/>
                                  <w:sz w:val="20"/>
                                  <w:u w:val="single"/>
                                </w:rPr>
                                <w:t xml:space="preserve">RECURSOS HUMANS CPNL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"REPRESENTANTS_LEGALS_DELS_ALUMNES" </w:instrText>
                              </w:r>
                              <w:r>
                                <w:fldChar w:fldCharType="separate" w:fldLock="0" w:dirty="0"/>
                              </w:r>
                              <w:r>
                                <w:rPr>
                                  <w:rFonts w:ascii="Arial" w:hAnsi="Arial" w:eastAsia="Arial"/>
                                  <w:color w:val="0000FF"/>
                                  <w:sz w:val="20"/>
                                  <w:u w:val="single"/>
                                </w:rPr>
                                <w:t xml:space="preserve">REPRESENTANTS LEGALS DELS ALUMNES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"REPRESENTANTS_LEGALS_DELS_MENORS_DE_14_A" </w:instrText>
                              </w:r>
                              <w:r>
                                <w:fldChar w:fldCharType="separate" w:fldLock="0" w:dirty="0"/>
                              </w:r>
                              <w:r>
                                <w:rPr>
                                  <w:rFonts w:ascii="Arial" w:hAnsi="Arial" w:eastAsia="Arial"/>
                                  <w:color w:val="0000FF"/>
                                  <w:sz w:val="20"/>
                                  <w:u w:val="single"/>
                                </w:rPr>
                                <w:t xml:space="preserve">REPRESENTANTS LEGALS DELS MENORS DE 14 ANYS PARTICIPANTS EN CONCURSOS, PROMOCIONS, ACTES, ACTIVITATS I ESDEVENIMENTS CULTURALS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bl>
          <w:p>
            <w:pPr>
              <w:spacing w:after="0" w:line="240" w:lineRule="auto"/>
            </w:pPr>
          </w:p>
        </w:tc>
        <w:tc>
          <w:tcPr>
            <w:tcW w:w="7634" w:type="dxa"/>
            <w:hMerge w:val="continue"/>
          </w:tcPr>
          <w:p>
            <w:pPr>
              <w:pStyle w:val="EmptyCellLayoutStyle"/>
              <w:spacing w:after="0" w:line="240" w:lineRule="auto"/>
            </w:pPr>
          </w:p>
        </w:tc>
      </w:tr>
      <w:tr>
        <w:trPr>
          <w:trHeight w:val="139"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8380"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224"/>
                    <w:gridCol w:w="329"/>
                    <w:gridCol w:w="15"/>
                    <w:gridCol w:w="15"/>
                    <w:gridCol w:w="1814"/>
                    <w:gridCol w:w="157"/>
                    <w:gridCol w:w="15"/>
                    <w:gridCol w:w="64"/>
                    <w:gridCol w:w="15"/>
                    <w:gridCol w:w="2"/>
                    <w:gridCol w:w="15"/>
                    <w:gridCol w:w="1417"/>
                    <w:gridCol w:w="539"/>
                    <w:gridCol w:w="157"/>
                    <w:gridCol w:w="4686"/>
                  </w:tblGrid>
                  <w:tr>
                    <w:trPr>
                      <w:trHeight w:val="142"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Parts intervinents</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245"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0" w:name="Responsable"/>
                              <w:bookmarkEnd w:id="0"/>
                              <w:r>
                                <w:fldChar w:fldCharType="begin" w:fldLock="0" w:dirty="0"/>
                              </w:r>
                              <w:r>
                                <w:rPr>
                                  <w:noProof/>
                                </w:rPr>
                                <w:instrText xml:space="preserve"> TC "Responsable" \f C \l "2" </w:instrText>
                              </w:r>
                              <w:r>
                                <w:fldChar w:fldCharType="end" w:fldLock="0" w:dirty="0"/>
                              </w:r>
                              <w:r>
                                <w:rPr>
                                  <w:rFonts w:ascii="Arial" w:hAnsi="Arial" w:eastAsia="Arial"/>
                                  <w:b/>
                                  <w:color w:val="000000"/>
                                  <w:sz w:val="24"/>
                                </w:rPr>
                                <w:t xml:space="preserve">Responsable del tractament</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87"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Consorci per a la Normalització Lingüística</w:t>
                              </w: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Carrer de Muntaner, 221 08036 Barcelona</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cpnl@cpnl.cat</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Delegat de protecció de dades</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Carrer de Muntaner, 221 08036 Barcelona</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dpd@cpnl.cat</w:t>
                              </w: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Telèfon:</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1957"/>
                        </w:tblGrid>
                        <w:tr>
                          <w:trPr>
                            <w:trHeight w:val="262" w:hRule="atLeast"/>
                          </w:trPr>
                          <w:tc>
                            <w:tcPr>
                              <w:tcW w:w="19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932723100</w:t>
                              </w:r>
                            </w:p>
                          </w:tc>
                        </w:tr>
                      </w:tbl>
                      <w:p>
                        <w:pPr>
                          <w:spacing w:after="0" w:line="240" w:lineRule="auto"/>
                        </w:pPr>
                      </w:p>
                    </w:tc>
                    <w:tc>
                      <w:tcPr>
                        <w:tcW w:w="539" w:type="dxa"/>
                        <w:hMerge w:val="continue"/>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Corresponsable</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9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Telèfon:</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2114"/>
                        </w:tblGrid>
                        <w:tr>
                          <w:trPr>
                            <w:trHeight w:val="262" w:hRule="atLeast"/>
                          </w:trPr>
                          <w:tc>
                            <w:tcPr>
                              <w:tcW w:w="21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tcPr>
                      <w:p>
                        <w:pPr>
                          <w:pStyle w:val="EmptyCellLayoutStyle"/>
                          <w:spacing w:after="0" w:line="240" w:lineRule="auto"/>
                        </w:pPr>
                      </w:p>
                    </w:tc>
                  </w:tr>
                  <w:tr>
                    <w:trPr>
                      <w:trHeight w:val="6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Representant del responsable</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5" w:type="dxa"/>
                        <w:hMerge w:val="continue"/>
                        <w:vMerge w:val="restart"/>
                      </w:tcPr>
                      <w:p>
                        <w:pPr>
                          <w:pStyle w:val="EmptyCellLayoutStyle"/>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6834"/>
                        </w:tblGrid>
                        <w:tr>
                          <w:trPr>
                            <w:trHeight w:val="262" w:hRule="atLeast"/>
                          </w:trPr>
                          <w:tc>
                            <w:tcPr>
                              <w:tcW w:w="68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2"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1417" w:type="dxa"/>
                        <w:hMerge w:val="continue"/>
                        <w:vMerge w:val="restart"/>
                      </w:tcPr>
                      <w:p>
                        <w:pPr>
                          <w:pStyle w:val="EmptyCellLayoutStyle"/>
                          <w:spacing w:after="0" w:line="240" w:lineRule="auto"/>
                        </w:pPr>
                      </w:p>
                    </w:tc>
                    <w:tc>
                      <w:tcPr>
                        <w:tcW w:w="539"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4686" w:type="dxa"/>
                        <w:hMerge w:val="continue"/>
                        <w:vMerge w:val="restart"/>
                      </w:tcPr>
                      <w:p>
                        <w:pPr>
                          <w:pStyle w:val="EmptyCellLayoutStyle"/>
                          <w:spacing w:after="0" w:line="240" w:lineRule="auto"/>
                        </w:pPr>
                      </w:p>
                    </w:tc>
                  </w:tr>
                  <w:tr>
                    <w:trPr>
                      <w:trHeight w:val="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2"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1417" w:type="dxa"/>
                        <w:hMerge w:val="continue"/>
                        <w:vMerge w:val="continue"/>
                      </w:tcPr>
                      <w:p>
                        <w:pPr>
                          <w:pStyle w:val="EmptyCellLayoutStyle"/>
                          <w:spacing w:after="0" w:line="240" w:lineRule="auto"/>
                        </w:pPr>
                      </w:p>
                    </w:tc>
                    <w:tc>
                      <w:tcPr>
                        <w:tcW w:w="539"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4686" w:type="dxa"/>
                        <w:hMerge w:val="continue"/>
                        <w:vMerge w:val="continue"/>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6816"/>
                        </w:tblGrid>
                        <w:tr>
                          <w:trPr>
                            <w:trHeight w:val="262" w:hRule="atLeast"/>
                          </w:trPr>
                          <w:tc>
                            <w:tcPr>
                              <w:tcW w:w="68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83"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bl>
                <w:p>
                  <w:pPr>
                    <w:spacing w:after="0" w:line="240" w:lineRule="auto"/>
                  </w:pPr>
                </w:p>
              </w:tc>
            </w:tr>
          </w:tbl>
          <w:p>
            <w:pPr>
              <w:spacing w:after="0" w:line="240" w:lineRule="auto"/>
            </w:pPr>
          </w:p>
        </w:tc>
      </w:tr>
      <w:tr>
        <w:trPr>
          <w:trHeight w:val="100" w:hRule="atLeast"/>
        </w:trPr>
        <w:tc>
          <w:tcPr>
            <w:tcW w:w="161" w:type="dxa"/>
          </w:tcPr>
          <w:p>
            <w:pPr>
              <w:pStyle w:val="EmptyCellLayoutStyle"/>
              <w:spacing w:after="0" w:line="240" w:lineRule="auto"/>
            </w:pPr>
          </w:p>
        </w:tc>
        <w:tc>
          <w:tcPr>
            <w:tcW w:w="947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 w:name="ADMINISTRACIÓ_I_GESTIÓ_COMPTABLE_CPNL"/>
                              <w:bookmarkEnd w:id="1"/>
                              <w:r>
                                <w:fldChar w:fldCharType="begin" w:fldLock="0" w:dirty="0"/>
                              </w:r>
                              <w:r>
                                <w:rPr>
                                  <w:noProof/>
                                </w:rPr>
                                <w:instrText xml:space="preserve"> TC "ADMINISTRACIÓ I GESTIÓ COMPTABLE CPNL" \f C \l "2" </w:instrText>
                              </w:r>
                              <w:r>
                                <w:fldChar w:fldCharType="end" w:fldLock="0" w:dirty="0"/>
                              </w:r>
                              <w:r>
                                <w:rPr>
                                  <w:rFonts w:ascii="Arial" w:hAnsi="Arial" w:eastAsia="Arial"/>
                                  <w:color w:val="000000"/>
                                  <w:sz w:val="20"/>
                                </w:rPr>
                                <w:t xml:space="preserve">ADMINISTRACIÓ I GESTIÓ COMPTABLE CPNL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6.1.b i c RGPD  en relació amb la Llei 9/2017, de 8 de novembre, de contractes del sector públic. I article 19 LOPDGDD.</w:t>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dels expedients de licitació. Gestió integral de comptabilitat i administració del CPNL. Gestió comptable, fiscal i administrativa, valoració de pressupostos, seguiment d’encàrrecs de treball, gestió de pagaments i contacte amb proveïdors.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Proveïdors</w:t>
                              </w:r>
                              <w:r>
                                <w:rPr>
                                  <w:rFonts w:ascii="Arial" w:hAnsi="Arial" w:eastAsia="Arial"/>
                                  <w:color w:val="000000"/>
                                  <w:sz w:val="20"/>
                                </w:rPr>
                                <w:br/>
                                <w:t xml:space="preserve">- Persones de contacte</w:t>
                              </w:r>
                              <w:r>
                                <w:rPr>
                                  <w:rFonts w:ascii="Arial" w:hAnsi="Arial" w:eastAsia="Arial"/>
                                  <w:color w:val="000000"/>
                                  <w:sz w:val="20"/>
                                </w:rPr>
                                <w:br/>
                                <w:t xml:space="preserve">- Propietaris o arrendataris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t xml:space="preserve">- Formació i titulacions</w:t>
                              </w:r>
                              <w:r>
                                <w:rPr>
                                  <w:rFonts w:ascii="Arial" w:hAnsi="Arial" w:eastAsia="Arial"/>
                                  <w:color w:val="000000"/>
                                  <w:sz w:val="20"/>
                                </w:rPr>
                                <w:br/>
                                <w:t xml:space="preserve">- Col·legis o associacions professionals</w:t>
                              </w:r>
                              <w:r>
                                <w:rPr>
                                  <w:rFonts w:ascii="Arial" w:hAnsi="Arial" w:eastAsia="Arial"/>
                                  <w:color w:val="000000"/>
                                  <w:sz w:val="20"/>
                                </w:rPr>
                                <w:br/>
                                <w:t xml:space="preserve">- Activitats i negocis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personals es conserven durant el temps necessari per complir amb la finalitat amb la qual s'han recollit. Transcorregut aquest termini, d’acord amb la normativa vigent en matèria de gestió documental i arxiu, el termini de conservació és el següent:</w:t>
                              </w:r>
                              <w:r>
                                <w:rPr>
                                  <w:rFonts w:ascii="Arial" w:hAnsi="Arial" w:eastAsia="Arial"/>
                                  <w:color w:val="000000"/>
                                  <w:sz w:val="20"/>
                                </w:rPr>
                                <w:br/>
                              </w:r>
                              <w:r>
                                <w:rPr>
                                  <w:rFonts w:ascii="Arial" w:hAnsi="Arial" w:eastAsia="Arial"/>
                                  <w:color w:val="000000"/>
                                  <w:sz w:val="20"/>
                                </w:rPr>
                                <w:br/>
                                <w:t xml:space="preserve">- Expedients  de  contractació  d'obres:  conservació  permanent  del  contracte, el plec de clàusules, les prescripcions tècniques, la liquidació definitiva, el pressupost addicional, si n’hi ha, del projecte de l’obra si aquest també és objecte del contracte, i destrucció total de la resta de documentació. Termini: 15 anys per a tota la documentació aportada pel licitador adjudicatari i també per la resta la resta licitadors, llevat de l’acreditativa de llur aptitud per contractar i de la resta de requisits previs, que se’ls ha de retornar un cop adjudicat el contracte i que pot ser destruïda quan hagi transcorregut un any des de l’adjudicació i no hagi estat recollida, d’acord amb el termini establert per la  taula d’accés, avaluació i tria núm. 235 </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hAnsi="Arial" w:eastAsia="Arial"/>
                                  <w:color w:val="000000"/>
                                  <w:sz w:val="20"/>
                                </w:rPr>
                                <w:br/>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2" w:name="BORSA_DE_TREBALL"/>
                              <w:bookmarkEnd w:id="2"/>
                              <w:r>
                                <w:fldChar w:fldCharType="begin" w:fldLock="0" w:dirty="0"/>
                              </w:r>
                              <w:r>
                                <w:rPr>
                                  <w:noProof/>
                                </w:rPr>
                                <w:instrText xml:space="preserve"> TC "BORSA DE TREBALL" \f C \l "2" </w:instrText>
                              </w:r>
                              <w:r>
                                <w:fldChar w:fldCharType="end" w:fldLock="0" w:dirty="0"/>
                              </w:r>
                              <w:r>
                                <w:rPr>
                                  <w:rFonts w:ascii="Arial" w:hAnsi="Arial" w:eastAsia="Arial"/>
                                  <w:color w:val="000000"/>
                                  <w:sz w:val="20"/>
                                </w:rPr>
                                <w:t xml:space="preserve">BORSA DE TREBALL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Contracte o mesures precontractuals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selecció de personal.</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Demandants d'ocupació</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Núm. S.S. / Mutualitat</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Número de registre personal</w:t>
                              </w:r>
                              <w:r>
                                <w:rPr>
                                  <w:rFonts w:ascii="Arial" w:hAnsi="Arial" w:eastAsia="Arial"/>
                                  <w:color w:val="000000"/>
                                  <w:sz w:val="20"/>
                                </w:rPr>
                                <w:br/>
                                <w:t xml:space="preserve">- Estat civil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Edat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Formació i titulacions</w:t>
                              </w:r>
                              <w:r>
                                <w:rPr>
                                  <w:rFonts w:ascii="Arial" w:hAnsi="Arial" w:eastAsia="Arial"/>
                                  <w:color w:val="000000"/>
                                  <w:sz w:val="20"/>
                                </w:rPr>
                                <w:br/>
                                <w:t xml:space="preserve">- Experiència professional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curriculars incloses a la borsa de treball es conservaran mentre la borsa sigui vigent. En el moment que hi ha una nova convocatòria de borsa que deixa inactiva l’anterior, s’elimina la informació d’aquelles persones que no han renovat la seva continuïtat en la borsa. Atès que les dades curriculars canvien fàcilment amb el pas del temps, preguem que, per mantenir les dades actualitzades i al dia, ens comuniqueu qualsevol canvi o modificació que hagi pogut produir-se.</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3" w:name="BUTLLETINS"/>
                              <w:bookmarkEnd w:id="3"/>
                              <w:r>
                                <w:fldChar w:fldCharType="begin" w:fldLock="0" w:dirty="0"/>
                              </w:r>
                              <w:r>
                                <w:rPr>
                                  <w:noProof/>
                                </w:rPr>
                                <w:instrText xml:space="preserve"> TC "BUTLLETINS" \f C \l "2" </w:instrText>
                              </w:r>
                              <w:r>
                                <w:fldChar w:fldCharType="end" w:fldLock="0" w:dirty="0"/>
                              </w:r>
                              <w:r>
                                <w:rPr>
                                  <w:rFonts w:ascii="Arial" w:hAnsi="Arial" w:eastAsia="Arial"/>
                                  <w:color w:val="000000"/>
                                  <w:sz w:val="20"/>
                                </w:rPr>
                                <w:t xml:space="preserve">BUTLLETINS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Tramesa de comunicacions informatives relacionades amb les activitats i serveis del CPNL als usuaris que en donar-se d’alta en aquestes activitats i serveis (cursos, concursos, promocions, activitats de dinamització i foment, esdeveniments culturals) marquen la casella corresponent, o bé als usuaris que se subscriuen als butlletins, i gestió de les sol·licituds d’alta, baixa, modificació de les subscripcions.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Persones de contacte</w:t>
                              </w:r>
                              <w:r>
                                <w:rPr>
                                  <w:rFonts w:ascii="Arial" w:hAnsi="Arial" w:eastAsia="Arial"/>
                                  <w:color w:val="000000"/>
                                  <w:sz w:val="20"/>
                                </w:rPr>
                                <w:b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Fins que no se'n demana la supressió.</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4" w:name="CONCURSOS,_PROMOCIONS,_ACTES,_ACTIVITATS"/>
                              <w:bookmarkEnd w:id="4"/>
                              <w:r>
                                <w:fldChar w:fldCharType="begin" w:fldLock="0" w:dirty="0"/>
                              </w:r>
                              <w:r>
                                <w:rPr>
                                  <w:noProof/>
                                </w:rPr>
                                <w:instrText xml:space="preserve"> TC "CONCURSOS, PROMOCIONS, ACTES, ACTIVITATS I ESDEVENIMENTS CULTURALS" \f C \l "2" </w:instrText>
                              </w:r>
                              <w:r>
                                <w:fldChar w:fldCharType="end" w:fldLock="0" w:dirty="0"/>
                              </w:r>
                              <w:r>
                                <w:rPr>
                                  <w:rFonts w:ascii="Arial" w:hAnsi="Arial" w:eastAsia="Arial"/>
                                  <w:color w:val="000000"/>
                                  <w:sz w:val="20"/>
                                </w:rPr>
                                <w:t xml:space="preserve">CONCURSOS, PROMOCIONS, ACTES, ACTIVITATS I ESDEVENIMENTS CULTURALS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Gestió, control i seguiment de les inscripcions de les persones participants en concursos, promocions, actes, activitats i esdeveniments culturals de format i finalitats diverses organitzats pel Consorci per a la Normalització Lingüística, incloses les comunicacions necessàries per dur a terme l’activitat.</w:t>
                              </w:r>
                              <w:r>
                                <w:rPr>
                                  <w:rFonts w:ascii="Arial" w:hAnsi="Arial" w:eastAsia="Arial"/>
                                  <w:color w:val="000000"/>
                                  <w:sz w:val="20"/>
                                </w:rPr>
                                <w:br/>
                                <w:t xml:space="preserve">- Gestionar les imatges i gravacions dutes a terme durant les activitats i els esdeveniments  que organitza el Consorci per a la Normalització Lingüística. </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Imatge / Veu</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Edat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La supressió de les imatges no té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5" w:name="CONTROL_D’ACCÉS_I_DE_PRESÈNCIA"/>
                              <w:bookmarkEnd w:id="5"/>
                              <w:r>
                                <w:fldChar w:fldCharType="begin" w:fldLock="0" w:dirty="0"/>
                              </w:r>
                              <w:r>
                                <w:rPr>
                                  <w:noProof/>
                                </w:rPr>
                                <w:instrText xml:space="preserve"> TC "CONTROL D’ACCÉS I DE PRESÈNCIA" \f C \l "2" </w:instrText>
                              </w:r>
                              <w:r>
                                <w:fldChar w:fldCharType="end" w:fldLock="0" w:dirty="0"/>
                              </w:r>
                              <w:r>
                                <w:rPr>
                                  <w:rFonts w:ascii="Arial" w:hAnsi="Arial" w:eastAsia="Arial"/>
                                  <w:color w:val="000000"/>
                                  <w:sz w:val="20"/>
                                </w:rPr>
                                <w:t xml:space="preserve">CONTROL D’ACCÉS I DE PRESÈNCIA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 en relació amb la Llei 5/2014, de 4 d’abril, de seguretat privada.</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Controlar l’accés de les persones visitants (proveïdores, clients i visites en general) a les instal·lacions del la seu central del CPNL, per tal de disposar d'informació sobre les persones que es troben físicament a l’edifici, necessària per al control de la seguretat.</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Altres categories:</w:t>
                              </w:r>
                              <w:r>
                                <w:rPr>
                                  <w:rFonts w:ascii="Arial" w:hAnsi="Arial" w:eastAsia="Arial"/>
                                  <w:color w:val="000000"/>
                                  <w:sz w:val="20"/>
                                </w:rPr>
                                <w:br/>
                                <w:t xml:space="preserve">     *Persones que accedeixen a les instal·lacions de la seu central del CPNL.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 En tot cas, les dades personals dels visitants es destrueixen en el termini d’un mes des que s’ha produït la visita.</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Adequades al risc.</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6" w:name="GESTIÓ_D’ACTIVITATS_DE_DINAMITZACIÓ_I_FO"/>
                              <w:bookmarkEnd w:id="6"/>
                              <w:r>
                                <w:fldChar w:fldCharType="begin" w:fldLock="0" w:dirty="0"/>
                              </w:r>
                              <w:r>
                                <w:rPr>
                                  <w:noProof/>
                                </w:rPr>
                                <w:instrText xml:space="preserve"> TC "GESTIÓ D’ACTIVITATS DE DINAMITZACIÓ I FOMENT" \f C \l "2" </w:instrText>
                              </w:r>
                              <w:r>
                                <w:fldChar w:fldCharType="end" w:fldLock="0" w:dirty="0"/>
                              </w:r>
                              <w:r>
                                <w:rPr>
                                  <w:rFonts w:ascii="Arial" w:hAnsi="Arial" w:eastAsia="Arial"/>
                                  <w:color w:val="000000"/>
                                  <w:sz w:val="20"/>
                                </w:rPr>
                                <w:t xml:space="preserve">GESTIÓ D’ACTIVITATS DE DINAMITZACIÓ I FOMENT</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control i seguiment de la documentació generada pels usuaris del les activitats relacionades amb els serveis de dinamització, assessorament i foment del CPNL, presencials o per mitjà de plataformes tecnològiques, si escau. En aquest cas, el CPNL no gestiona aquesta connexió.</w:t>
                              </w:r>
                              <w:r>
                                <w:rPr>
                                  <w:rFonts w:ascii="Arial" w:hAnsi="Arial" w:eastAsia="Arial"/>
                                  <w:color w:val="000000"/>
                                  <w:sz w:val="20"/>
                                </w:rPr>
                                <w:br/>
                                <w:t xml:space="preserve">Els usos previstos són el registre de les persones inscrites, l’organització i realització d’activitats i serveis i l’acreditació de resultats. </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t xml:space="preserve">- Llocs de treball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dades es conserven de forma indefinida mentre no existeixi la taula d’accés, avaluació i tria de la sèrie o sèries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En el cas de les activitats de dinamització i foment, les mesures de seguretat són les pròpies de les aplicacions.</w:t>
                              </w:r>
                              <w:r>
                                <w:rPr>
                                  <w:rFonts w:ascii="Arial" w:hAnsi="Arial" w:eastAsia="Arial"/>
                                  <w:color w:val="000000"/>
                                  <w:sz w:val="20"/>
                                </w:rPr>
                                <w:br/>
                                <w:t xml:space="preserve">En el cas de les activitats d'assessorament, les previstes en el document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7" w:name="GESTIÓ_D’IMATGES"/>
                              <w:bookmarkEnd w:id="7"/>
                              <w:r>
                                <w:fldChar w:fldCharType="begin" w:fldLock="0" w:dirty="0"/>
                              </w:r>
                              <w:r>
                                <w:rPr>
                                  <w:noProof/>
                                </w:rPr>
                                <w:instrText xml:space="preserve"> TC "GESTIÓ D’IMATGES" \f C \l "2" </w:instrText>
                              </w:r>
                              <w:r>
                                <w:fldChar w:fldCharType="end" w:fldLock="0" w:dirty="0"/>
                              </w:r>
                              <w:r>
                                <w:rPr>
                                  <w:rFonts w:ascii="Arial" w:hAnsi="Arial" w:eastAsia="Arial"/>
                                  <w:color w:val="000000"/>
                                  <w:sz w:val="20"/>
                                </w:rPr>
                                <w:t xml:space="preserve">GESTIÓ D’IMATGES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les imatges i gravacions dutes a terme durant els cursos, activitats, esdeveniments i promocions que organitza o impulsa el Consorci per a la Normalització Lingüística (CPNL).</w:t>
                              </w:r>
                              <w:r>
                                <w:rPr>
                                  <w:rFonts w:ascii="Arial" w:hAnsi="Arial" w:eastAsia="Arial"/>
                                  <w:color w:val="000000"/>
                                  <w:sz w:val="20"/>
                                </w:rPr>
                                <w:br/>
                                <w:t xml:space="preserve">El dret a la pròpia imatge ve reconegut per l’art. 18.1 de la Constitució Espanyola i està regulat per la Llei Orgànica 1/1982 sobre la protecció del dret a l’honor, a la intimitat personal i familiar i a la pròpia imatge, així como per la normativa de protecció de dades de caràcter personal.</w:t>
                              </w:r>
                              <w:r>
                                <w:rPr>
                                  <w:rFonts w:ascii="Arial" w:hAnsi="Arial" w:eastAsia="Arial"/>
                                  <w:color w:val="000000"/>
                                  <w:sz w:val="20"/>
                                </w:rPr>
                                <w:br/>
                              </w:r>
                              <w:r>
                                <w:rPr>
                                  <w:rFonts w:ascii="Arial" w:hAnsi="Arial" w:eastAsia="Arial"/>
                                  <w:color w:val="000000"/>
                                  <w:sz w:val="20"/>
                                </w:rPr>
                                <w:br/>
                                <w:t xml:space="preserve">Cada cop és més habitual que es captin imatges mitjançant gravacions de vídeo o àudio als espais públics en el marc d’activitats del CPNL. Per poder captar, fer ús i difusió d’aquestes imatges amb l’objectiu d’il·lustrar publicacions i materials del Consorci, així com per publicar-les a internet, ja sigui a la mateixa web corporativa com a xarxes socials i d’altres portals de difusió, se sol·licita l’autorització pertinent quan el titular de la imatge sigui clarament identificable, excepte si, tal com estableix la LO 1/1982 (art. 18.2.c)</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Càrrecs públics</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La supressió de les imatges no té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El CPNL aplica les mesures de seguretat tècniques i organitzatives adequades tenint en compte el tipus de dades i els riscos previsibles. </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2083"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6144"/>
                    <w:gridCol w:w="1852"/>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8" w:name="GESTIÓ_D'ACTIVITATS_FORMATIVES"/>
                              <w:bookmarkEnd w:id="8"/>
                              <w:r>
                                <w:fldChar w:fldCharType="begin" w:fldLock="0" w:dirty="0"/>
                              </w:r>
                              <w:r>
                                <w:rPr>
                                  <w:noProof/>
                                </w:rPr>
                                <w:instrText xml:space="preserve"> TC "GESTIÓ D'ACTIVITATS FORMATIVES" \f C \l "2" </w:instrText>
                              </w:r>
                              <w:r>
                                <w:fldChar w:fldCharType="end" w:fldLock="0" w:dirty="0"/>
                              </w:r>
                              <w:r>
                                <w:rPr>
                                  <w:rFonts w:ascii="Arial" w:hAnsi="Arial" w:eastAsia="Arial"/>
                                  <w:color w:val="000000"/>
                                  <w:sz w:val="20"/>
                                </w:rPr>
                                <w:t xml:space="preserve">GESTIÓ D'ACTIVITATS FORMATIVES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La finalitat del tractament “Gestió d’activitats formatives” és la gestió de tot el procés d'inscripció als cursos de català i activitats del CPNL (des de la prova de col·locació fins a la preinscripció) i fer el control i el seguiment docent d’aquests cursos i de les activitats organitzades pel CPNL.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Número de registre personal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Llengua materna</w:t>
                              </w:r>
                              <w:r>
                                <w:rPr>
                                  <w:rFonts w:ascii="Arial" w:hAnsi="Arial" w:eastAsia="Arial"/>
                                  <w:color w:val="000000"/>
                                  <w:sz w:val="20"/>
                                </w:rPr>
                                <w:br/>
                                <w:t xml:space="preserve">- Formació i titulacions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c>
                      <w:tcPr>
                        <w:tcW w:w="164" w:type="dxa"/>
                      </w:tcPr>
                      <w:p>
                        <w:pPr>
                          <w:pStyle w:val="EmptyCellLayoutStyle"/>
                          <w:spacing w:after="0" w:line="240" w:lineRule="auto"/>
                        </w:pPr>
                      </w:p>
                    </w:tc>
                    <w:tc>
                      <w:tcPr>
                        <w:tcW w:w="5" w:type="dxa"/>
                        <w:hMerge w:val="restart"/>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94"/>
                          <w:gridCol w:w="15"/>
                        </w:tblGrid>
                        <w:tr>
                          <w:trPr/>
                          <w:tc>
                            <w:tcPr>
                              <w:tcW w:w="619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94"/>
                              </w:tblGrid>
                              <w:tr>
                                <w:trPr>
                                  <w:trHeight w:val="367" w:hRule="atLeast"/>
                                </w:trPr>
                                <w:tc>
                                  <w:tcPr>
                                    <w:tcW w:w="6194"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52"/>
                                      <w:gridCol w:w="172"/>
                                      <w:gridCol w:w="5849"/>
                                      <w:gridCol w:w="120"/>
                                    </w:tblGrid>
                                    <w:tr>
                                      <w:trPr>
                                        <w:trHeight w:val="340" w:hRule="atLeast"/>
                                      </w:trPr>
                                      <w:tc>
                                        <w:tcPr>
                                          <w:tcW w:w="52" w:type="dxa"/>
                                        </w:tcPr>
                                        <w:p>
                                          <w:pPr>
                                            <w:pStyle w:val="EmptyCellLayoutStyle"/>
                                            <w:spacing w:after="0" w:line="240" w:lineRule="auto"/>
                                          </w:pPr>
                                        </w:p>
                                      </w:tc>
                                      <w:tc>
                                        <w:tcPr>
                                          <w:tcW w:w="172" w:type="dxa"/>
                                        </w:tcPr>
                                        <w:tbl>
                                          <w:tblPr>
                                            <w:tblCellMar>
                                              <w:top w:w="0" w:type="dxa"/>
                                              <w:left w:w="0" w:type="dxa"/>
                                              <w:bottom w:w="0" w:type="dxa"/>
                                              <w:right w:w="0" w:type="dxa"/>
                                            </w:tblCellMar>
                                          </w:tblPr>
                                          <w:tblGrid>
                                            <w:gridCol w:w="172"/>
                                          </w:tblGrid>
                                          <w:tr>
                                            <w:trPr>
                                              <w:trHeight w:val="262" w:hRule="atLeast"/>
                                            </w:trPr>
                                            <w:tc>
                                              <w:tcPr>
                                                <w:tcW w:w="17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bl>
                                        <w:p>
                                          <w:pPr>
                                            <w:spacing w:after="0" w:line="240" w:lineRule="auto"/>
                                          </w:pPr>
                                        </w:p>
                                      </w:tc>
                                      <w:tc>
                                        <w:tcPr>
                                          <w:tcW w:w="5849" w:type="dxa"/>
                                        </w:tcPr>
                                        <w:tbl>
                                          <w:tblPr>
                                            <w:tblCellMar>
                                              <w:top w:w="0" w:type="dxa"/>
                                              <w:left w:w="0" w:type="dxa"/>
                                              <w:bottom w:w="0" w:type="dxa"/>
                                              <w:right w:w="0" w:type="dxa"/>
                                            </w:tblCellMar>
                                          </w:tblPr>
                                          <w:tblGrid>
                                            <w:gridCol w:w="5849"/>
                                          </w:tblGrid>
                                          <w:tr>
                                            <w:trPr>
                                              <w:trHeight w:val="262" w:hRule="atLeast"/>
                                            </w:trPr>
                                            <w:tc>
                                              <w:tcPr>
                                                <w:tcW w:w="584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Empreses, organitzacions, administracions promotores de formació</w:t>
                                                </w:r>
                                              </w:p>
                                            </w:tc>
                                          </w:tr>
                                        </w:tbl>
                                        <w:p>
                                          <w:pPr>
                                            <w:spacing w:after="0" w:line="240" w:lineRule="auto"/>
                                          </w:pPr>
                                        </w:p>
                                      </w:tc>
                                      <w:tc>
                                        <w:tcPr>
                                          <w:tcW w:w="120" w:type="dxa"/>
                                        </w:tcPr>
                                        <w:p>
                                          <w:pPr>
                                            <w:pStyle w:val="EmptyCellLayoutStyle"/>
                                            <w:spacing w:after="0" w:line="240" w:lineRule="auto"/>
                                          </w:pPr>
                                        </w:p>
                                      </w:tc>
                                    </w:tr>
                                    <w:tr>
                                      <w:trPr>
                                        <w:trHeight w:val="27" w:hRule="atLeast"/>
                                      </w:trPr>
                                      <w:tc>
                                        <w:tcPr>
                                          <w:tcW w:w="52" w:type="dxa"/>
                                        </w:tcPr>
                                        <w:p>
                                          <w:pPr>
                                            <w:pStyle w:val="EmptyCellLayoutStyle"/>
                                            <w:spacing w:after="0" w:line="240" w:lineRule="auto"/>
                                          </w:pPr>
                                        </w:p>
                                      </w:tc>
                                      <w:tc>
                                        <w:tcPr>
                                          <w:tcW w:w="172" w:type="dxa"/>
                                        </w:tcPr>
                                        <w:p>
                                          <w:pPr>
                                            <w:pStyle w:val="EmptyCellLayoutStyle"/>
                                            <w:spacing w:after="0" w:line="240" w:lineRule="auto"/>
                                          </w:pPr>
                                        </w:p>
                                      </w:tc>
                                      <w:tc>
                                        <w:tcPr>
                                          <w:tcW w:w="5849" w:type="dxa"/>
                                        </w:tcPr>
                                        <w:p>
                                          <w:pPr>
                                            <w:pStyle w:val="EmptyCellLayoutStyle"/>
                                            <w:spacing w:after="0" w:line="240" w:lineRule="auto"/>
                                          </w:pPr>
                                        </w:p>
                                      </w:tc>
                                      <w:tc>
                                        <w:tcPr>
                                          <w:tcW w:w="120" w:type="dxa"/>
                                        </w:tcPr>
                                        <w:p>
                                          <w:pPr>
                                            <w:pStyle w:val="EmptyCellLayoutStyle"/>
                                            <w:spacing w:after="0" w:line="240" w:lineRule="auto"/>
                                          </w:pPr>
                                        </w:p>
                                      </w:tc>
                                    </w:tr>
                                  </w:tbl>
                                  <w:p>
                                    <w:pPr>
                                      <w:spacing w:after="0" w:line="240" w:lineRule="auto"/>
                                    </w:pPr>
                                  </w:p>
                                </w:tc>
                              </w:tr>
                            </w:tbl>
                            <w:p>
                              <w:pPr>
                                <w:spacing w:after="0" w:line="240" w:lineRule="auto"/>
                              </w:pPr>
                            </w:p>
                          </w:tc>
                          <w:tc>
                            <w:tcPr>
                              <w:tcW w:w="15" w:type="dxa"/>
                            </w:tcPr>
                            <w:p>
                              <w:pPr>
                                <w:pStyle w:val="EmptyCellLayoutStyle"/>
                                <w:spacing w:after="0" w:line="240" w:lineRule="auto"/>
                              </w:pPr>
                            </w:p>
                          </w:tc>
                        </w:tr>
                        <w:tr>
                          <w:trPr>
                            <w:trHeight w:val="37" w:hRule="atLeast"/>
                          </w:trPr>
                          <w:tc>
                            <w:tcPr>
                              <w:tcW w:w="619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hAnsi="Arial" w:eastAsia="Arial"/>
                                  <w:color w:val="000000"/>
                                  <w:sz w:val="20"/>
                                </w:rPr>
                                <w:br/>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9" w:name="GESTIÓ_DE_CONVENIS,_PROTOCOLS,_ADHESIONS"/>
                              <w:bookmarkEnd w:id="9"/>
                              <w:r>
                                <w:fldChar w:fldCharType="begin" w:fldLock="0" w:dirty="0"/>
                              </w:r>
                              <w:r>
                                <w:rPr>
                                  <w:noProof/>
                                </w:rPr>
                                <w:instrText xml:space="preserve"> TC "GESTIÓ DE CONVENIS, PROTOCOLS, ADHESIONS" \f C \l "2" </w:instrText>
                              </w:r>
                              <w:r>
                                <w:fldChar w:fldCharType="end" w:fldLock="0" w:dirty="0"/>
                              </w:r>
                              <w:r>
                                <w:rPr>
                                  <w:rFonts w:ascii="Arial" w:hAnsi="Arial" w:eastAsia="Arial"/>
                                  <w:color w:val="000000"/>
                                  <w:sz w:val="20"/>
                                </w:rPr>
                                <w:t xml:space="preserve">GESTIÓ DE CONVENIS, PROTOCOLS, ADHESIONS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6.1.c RGPD, article 6.1.f RGPD en relació amb l’article 19 de la LO 3/2018, de 5 de desembre, de protecció de dades personals i garantia dels drets digitals.</w:t>
                              </w:r>
                              <w:r>
                                <w:rPr>
                                  <w:rFonts w:ascii="Arial" w:hAnsi="Arial" w:eastAsia="Arial"/>
                                  <w:color w:val="000000"/>
                                  <w:sz w:val="20"/>
                                </w:rPr>
                                <w:br/>
                                <w:t xml:space="preserve">- Missió realitzada en interès públic o en exercici de poders públics</w:t>
                              </w:r>
                              <w:r>
                                <w:rPr>
                                  <w:rFonts w:ascii="Arial" w:hAnsi="Arial" w:eastAsia="Arial"/>
                                  <w:color w:val="000000"/>
                                  <w:sz w:val="20"/>
                                </w:rPr>
                                <w:br/>
                                <w:t xml:space="preserve">     *Article 6.1.e. en relació amb l’article 108.3 de la Llei 26/2010, del 3 d'agost, de règim jurídic i de procediment de les administracions públiques de Catalunya.</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dels expedients de convenis, protocols o adhesions a programes del Consorci per a la Normalització Lingüística (CPNL) i fer-ne el seguiment i trametre informació a les persones interessades, si escau, i al registre de convenis, si escau. </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Càrrecs públics</w:t>
                              </w:r>
                              <w:r>
                                <w:rPr>
                                  <w:rFonts w:ascii="Arial" w:hAnsi="Arial" w:eastAsia="Arial"/>
                                  <w:color w:val="000000"/>
                                  <w:sz w:val="20"/>
                                </w:rPr>
                                <w:br/>
                                <w:t xml:space="preserve">- Persones de contacte</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0" w:name="GESTIÓ_DE_PETICIONS_DE_L’EXERCICI_D’ACCÉ"/>
                              <w:bookmarkEnd w:id="10"/>
                              <w:r>
                                <w:fldChar w:fldCharType="begin" w:fldLock="0" w:dirty="0"/>
                              </w:r>
                              <w:r>
                                <w:rPr>
                                  <w:noProof/>
                                </w:rPr>
                                <w:instrText xml:space="preserve"> TC "GESTIÓ DE PETICIONS DE L’EXERCICI D’ACCÉS A LA INFORMACIÓ PÚBLICA" \f C \l "2" </w:instrText>
                              </w:r>
                              <w:r>
                                <w:fldChar w:fldCharType="end" w:fldLock="0" w:dirty="0"/>
                              </w:r>
                              <w:r>
                                <w:rPr>
                                  <w:rFonts w:ascii="Arial" w:hAnsi="Arial" w:eastAsia="Arial"/>
                                  <w:color w:val="000000"/>
                                  <w:sz w:val="20"/>
                                </w:rPr>
                                <w:t xml:space="preserve">GESTIÓ DE PETICIONS DE L’EXERCICI D’ACCÉS A LA INFORMACIÓ PÚBLICA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 en relació amb la Llei 19/2014, de 29 de desembre, de transparència, accés a la informació pública i bon govern.</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Tramitar i donar resposta a les sol·licituds d'accés a la informació pública que els ciutadans adrecin al Consorci per a la Normalització Lingüística en virtut de la normativa vigent en matèria de transparència, accés a la informació pública i bon govern. Reenviar-les, si fos necessari, al servei corresponent.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1" w:name="GESTIÓ_DE_SOL·LICITUDS_D’INFORMACIÓ_DIVE"/>
                              <w:bookmarkEnd w:id="11"/>
                              <w:r>
                                <w:fldChar w:fldCharType="begin" w:fldLock="0" w:dirty="0"/>
                              </w:r>
                              <w:r>
                                <w:rPr>
                                  <w:noProof/>
                                </w:rPr>
                                <w:instrText xml:space="preserve"> TC "GESTIÓ DE SOL·LICITUDS D’INFORMACIÓ DIVERSA, CONSULTES, QUEIXES I SUGGERIMENTS" \f C \l "2" </w:instrText>
                              </w:r>
                              <w:r>
                                <w:fldChar w:fldCharType="end" w:fldLock="0" w:dirty="0"/>
                              </w:r>
                              <w:r>
                                <w:rPr>
                                  <w:rFonts w:ascii="Arial" w:hAnsi="Arial" w:eastAsia="Arial"/>
                                  <w:color w:val="000000"/>
                                  <w:sz w:val="20"/>
                                </w:rPr>
                                <w:t xml:space="preserve">GESTIÓ DE SOL·LICITUDS D’INFORMACIÓ DIVERSA, CONSULTES, QUEIXES I SUGGERIMENTS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Missió realitzada en interès públic o en exercici de poders públics</w:t>
                              </w:r>
                              <w:r>
                                <w:rPr>
                                  <w:rFonts w:ascii="Arial" w:hAnsi="Arial" w:eastAsia="Arial"/>
                                  <w:color w:val="000000"/>
                                  <w:sz w:val="20"/>
                                </w:rPr>
                                <w:br/>
                                <w:t xml:space="preserve">     *Article 6.1.e RGPD en relació amb la Llei 26/2010 de règim jurídic i de procediment de les administracions públiques de Catalunya, i la Llei 39/2015 del procediment administratiu comú de les administracions públiques.</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Tramitar i donar resposta a les sol·licituds d’informació general sobre el Consorci per a la Normalització Lingüística, i atenció de queixes, consultes i suggeriments. Reenviar-les, si fos necessari, al servei corresponent.</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cancel·laran.</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2" w:name="Gestió_dels_òrgans_de_govern_i_col·legia"/>
                              <w:bookmarkEnd w:id="12"/>
                              <w:r>
                                <w:fldChar w:fldCharType="begin" w:fldLock="0" w:dirty="0"/>
                              </w:r>
                              <w:r>
                                <w:rPr>
                                  <w:noProof/>
                                </w:rPr>
                                <w:instrText xml:space="preserve"> TC "Gestió dels òrgans de govern i col·legiats" \f C \l "2" </w:instrText>
                              </w:r>
                              <w:r>
                                <w:fldChar w:fldCharType="end" w:fldLock="0" w:dirty="0"/>
                              </w:r>
                              <w:r>
                                <w:rPr>
                                  <w:rFonts w:ascii="Arial" w:hAnsi="Arial" w:eastAsia="Arial"/>
                                  <w:color w:val="000000"/>
                                  <w:sz w:val="20"/>
                                </w:rPr>
                                <w:t xml:space="preserve">Gestió dels òrgans de govern i col·legiats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 6.1.c) RGPD; Llei 26/2010, de 3 d’agost, de règim jurídic i procediment de les administracions públiques de Catalunya, la Llei 39/2015, d’1 d’octubre, del procediment administratiu comú de les administracions públiques, i la Llei 40/2015, d’1 d’octubre, de règim jurídic del sector públic</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La finalitat del tractament és el funcionament i la gestió dels òrgans col·legiats i de govern del CPNL. </w:t>
                              </w:r>
                              <w:r>
                                <w:rPr>
                                  <w:rFonts w:ascii="Arial" w:hAnsi="Arial" w:eastAsia="Arial"/>
                                  <w:color w:val="000000"/>
                                  <w:sz w:val="20"/>
                                </w:rPr>
                                <w:br/>
                                <w:t xml:space="preserve">Gestió de la informació relativa als membres d’òrgans col·legiats.</w:t>
                              </w:r>
                              <w:r>
                                <w:rPr>
                                  <w:rFonts w:ascii="Arial" w:hAnsi="Arial" w:eastAsia="Arial"/>
                                  <w:color w:val="000000"/>
                                  <w:sz w:val="20"/>
                                </w:rPr>
                                <w:br/>
                                <w:t xml:space="preserve">Gestió i manteniment de les dades de contacte de les persones físiques, jurídiques, representants d’administracions, entitats públiques i privades que formen part dels diferents òrgans col·legiats.</w:t>
                              </w:r>
                              <w:r>
                                <w:rPr>
                                  <w:rFonts w:ascii="Arial" w:hAnsi="Arial" w:eastAsia="Arial"/>
                                  <w:color w:val="000000"/>
                                  <w:sz w:val="20"/>
                                </w:rPr>
                                <w:br/>
                                <w:t xml:space="preserve">Els usos són: convocatòries de reunions i d'informació diversa relativa al CPNL i al seu funcionament. Les sessions dels òrgans col·legiats poden ser enregistrades a fi i efecte d'elaborar les actes de les reunions. Les dades també es poden utilitzar per efectuar estadístiques.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Càrrecs públics</w:t>
                              </w:r>
                              <w:r>
                                <w:rPr>
                                  <w:rFonts w:ascii="Arial" w:hAnsi="Arial" w:eastAsia="Arial"/>
                                  <w:color w:val="000000"/>
                                  <w:sz w:val="20"/>
                                </w:rPr>
                                <w:br/>
                                <w:t xml:space="preserve">- Persones de contacte</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mesures de seguretat són les pròpies de les aplicacions que s'utilitzen per al tractament de les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3" w:name="PROMOCIÓ_I_DIFUSIÓ"/>
                              <w:bookmarkEnd w:id="13"/>
                              <w:r>
                                <w:fldChar w:fldCharType="begin" w:fldLock="0" w:dirty="0"/>
                              </w:r>
                              <w:r>
                                <w:rPr>
                                  <w:noProof/>
                                </w:rPr>
                                <w:instrText xml:space="preserve"> TC "PROMOCIÓ I DIFUSIÓ" \f C \l "2" </w:instrText>
                              </w:r>
                              <w:r>
                                <w:fldChar w:fldCharType="end" w:fldLock="0" w:dirty="0"/>
                              </w:r>
                              <w:r>
                                <w:rPr>
                                  <w:rFonts w:ascii="Arial" w:hAnsi="Arial" w:eastAsia="Arial"/>
                                  <w:color w:val="000000"/>
                                  <w:sz w:val="20"/>
                                </w:rPr>
                                <w:t xml:space="preserve">PROMOCIÓ I DIFUSIÓ</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Difusió de les activitats i serveis del Consorci per a la Normalització Lingüística (CPNL) per diferents mitjans: correu, butlletins, notes, convocatòries d’actes i altres eines de difusió.</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r>
                                <w:rPr>
                                  <w:rFonts w:ascii="Arial" w:hAnsi="Arial" w:eastAsia="Arial"/>
                                  <w:color w:val="000000"/>
                                  <w:sz w:val="20"/>
                                </w:rPr>
                                <w:br/>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personals es tracten de manera confidencial. El CPNL ha adoptat les mesures tècniques i organitzatives adequades per garantir la seguretat en el tractament de les dades i evitar la seva alteració, pèrdua, robament, tractament o accés no autoritzat, d’acord a l’estat de la tecnologia i naturalesa de les dades emmagatzemades. Així mateix, es garanteix també que el tractament i registre en fitxers, programes, sistemes o equips, locals i centres compleixen amb els requisits i condicions d’integritat i seguretat establerts en la normativa vigent.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4" w:name="RECURSOS_HUMANS_CPNL"/>
                              <w:bookmarkEnd w:id="14"/>
                              <w:r>
                                <w:fldChar w:fldCharType="begin" w:fldLock="0" w:dirty="0"/>
                              </w:r>
                              <w:r>
                                <w:rPr>
                                  <w:noProof/>
                                </w:rPr>
                                <w:instrText xml:space="preserve"> TC "RECURSOS HUMANS CPNL" \f C \l "2" </w:instrText>
                              </w:r>
                              <w:r>
                                <w:fldChar w:fldCharType="end" w:fldLock="0" w:dirty="0"/>
                              </w:r>
                              <w:r>
                                <w:rPr>
                                  <w:rFonts w:ascii="Arial" w:hAnsi="Arial" w:eastAsia="Arial"/>
                                  <w:color w:val="000000"/>
                                  <w:sz w:val="20"/>
                                </w:rPr>
                                <w:t xml:space="preserve">RECURSOS HUMANS CPNL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6.1.b del RGPD: tractament necessari per a l’execució d’un contracte en què l’interessat és part o per a l’aplicació de mesures precontractuals a petició de l’interessat, i l’article 6.1.b, compliment d’una obligació legal aplicable al responsable del tractament.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i direcció dels recursos humans del CPNL. Selecció i contractació de personal, gestió de nòmines, seguiment de l’activitat laboral, gestió de permisos i llicències, formació i compliment d’obligacions amb la seguretat social, jutjats i tribunals i casos previstos per la llei.</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Núm. S.S. / Mutualitat</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Número de registre personal</w:t>
                              </w:r>
                              <w:r>
                                <w:rPr>
                                  <w:rFonts w:ascii="Arial" w:hAnsi="Arial" w:eastAsia="Arial"/>
                                  <w:color w:val="000000"/>
                                  <w:sz w:val="20"/>
                                </w:rPr>
                                <w:br/>
                                <w:t xml:space="preserve">- Estat civil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Edat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Cos, escala</w:t>
                              </w:r>
                              <w:r>
                                <w:rPr>
                                  <w:rFonts w:ascii="Arial" w:hAnsi="Arial" w:eastAsia="Arial"/>
                                  <w:color w:val="000000"/>
                                  <w:sz w:val="20"/>
                                </w:rPr>
                                <w:br/>
                                <w:t xml:space="preserve">- Categoria, grau</w:t>
                              </w:r>
                              <w:r>
                                <w:rPr>
                                  <w:rFonts w:ascii="Arial" w:hAnsi="Arial" w:eastAsia="Arial"/>
                                  <w:color w:val="000000"/>
                                  <w:sz w:val="20"/>
                                </w:rPr>
                                <w:br/>
                                <w:t xml:space="preserve">- Historial laboral</w:t>
                              </w:r>
                              <w:r>
                                <w:rPr>
                                  <w:rFonts w:ascii="Arial" w:hAnsi="Arial" w:eastAsia="Arial"/>
                                  <w:color w:val="000000"/>
                                  <w:sz w:val="20"/>
                                </w:rPr>
                                <w:br/>
                                <w:t xml:space="preserve">- Formació i titulacions</w:t>
                              </w:r>
                              <w:r>
                                <w:rPr>
                                  <w:rFonts w:ascii="Arial" w:hAnsi="Arial" w:eastAsia="Arial"/>
                                  <w:color w:val="000000"/>
                                  <w:sz w:val="20"/>
                                </w:rPr>
                                <w:br/>
                                <w:t xml:space="preserve">- Historial acadèmic</w:t>
                              </w:r>
                              <w:r>
                                <w:rPr>
                                  <w:rFonts w:ascii="Arial" w:hAnsi="Arial" w:eastAsia="Arial"/>
                                  <w:color w:val="000000"/>
                                  <w:sz w:val="20"/>
                                </w:rPr>
                                <w:br/>
                                <w:t xml:space="preserve">- Experiència professional</w:t>
                              </w:r>
                              <w:r>
                                <w:rPr>
                                  <w:rFonts w:ascii="Arial" w:hAnsi="Arial" w:eastAsia="Arial"/>
                                  <w:color w:val="000000"/>
                                  <w:sz w:val="20"/>
                                </w:rPr>
                                <w:br/>
                                <w:t xml:space="preserve">- Dades de nòmina</w:t>
                              </w:r>
                              <w:r>
                                <w:rPr>
                                  <w:rFonts w:ascii="Arial" w:hAnsi="Arial" w:eastAsia="Arial"/>
                                  <w:color w:val="000000"/>
                                  <w:sz w:val="20"/>
                                </w:rPr>
                                <w:br/>
                                <w:t xml:space="preserve">- Impostos, deduccions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Discapacitats físiques i intel·lectuals</w:t>
                              </w:r>
                              <w:r>
                                <w:rPr>
                                  <w:rFonts w:ascii="Arial" w:hAnsi="Arial" w:eastAsia="Arial"/>
                                  <w:color w:val="000000"/>
                                  <w:sz w:val="20"/>
                                </w:rPr>
                                <w:br/>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r>
                                <w:rPr>
                                  <w:rFonts w:ascii="Arial" w:hAnsi="Arial" w:eastAsia="Arial"/>
                                  <w:color w:val="000000"/>
                                  <w:sz w:val="20"/>
                                </w:rPr>
                                <w:br/>
                              </w:r>
                              <w:r>
                                <w:rPr>
                                  <w:rFonts w:ascii="Arial" w:hAnsi="Arial" w:eastAsia="Arial"/>
                                  <w:color w:val="000000"/>
                                  <w:sz w:val="20"/>
                                </w:rPr>
                                <w:br/>
                                <w:t xml:space="preserve">De totes maneres, hi ha el deure de conservar l'expedient administratiu, per possibles recursos que pugin interposar els participants dels processos selectius o bé per possibles impugnacions.</w:t>
                              </w:r>
                              <w:r>
                                <w:rPr>
                                  <w:rFonts w:ascii="Arial" w:hAnsi="Arial" w:eastAsia="Arial"/>
                                  <w:color w:val="000000"/>
                                  <w:sz w:val="20"/>
                                </w:rPr>
                                <w:br/>
                              </w:r>
                              <w:r>
                                <w:rPr>
                                  <w:rFonts w:ascii="Arial" w:hAnsi="Arial" w:eastAsia="Arial"/>
                                  <w:color w:val="000000"/>
                                  <w:sz w:val="20"/>
                                </w:rPr>
                                <w:br/>
                                <w:t xml:space="preserve">En els tractaments que fan les administracions públiques, el dret a la supressió ha de posar-se en relació amb el deure de conservació dels expedients administratius, deure que, alhora, s’ha de vincular també al dret d'accés a la informació pública (Llei 19/2014, de 29 de desembre, de transparència, accés a la informació pública i bon govern).</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5" w:name="REPRESENTANTS_LEGALS_DELS_ALUMNES"/>
                              <w:bookmarkEnd w:id="15"/>
                              <w:r>
                                <w:fldChar w:fldCharType="begin" w:fldLock="0" w:dirty="0"/>
                              </w:r>
                              <w:r>
                                <w:rPr>
                                  <w:noProof/>
                                </w:rPr>
                                <w:instrText xml:space="preserve"> TC "REPRESENTANTS LEGALS DELS ALUMNES" \f C \l "2" </w:instrText>
                              </w:r>
                              <w:r>
                                <w:fldChar w:fldCharType="end" w:fldLock="0" w:dirty="0"/>
                              </w:r>
                              <w:r>
                                <w:rPr>
                                  <w:rFonts w:ascii="Arial" w:hAnsi="Arial" w:eastAsia="Arial"/>
                                  <w:color w:val="000000"/>
                                  <w:sz w:val="20"/>
                                </w:rPr>
                                <w:t xml:space="preserve">REPRESENTANTS LEGALS DELS ALUMNES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inscripció als cursos i activitats del CPNL dels alumnes inscrits per mitjà de representant legal.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El necessari per a la finalitat per a la qual han estat recaptades.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Mesures bàsiques.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6" w:name="REPRESENTANTS_LEGALS_DELS_MENORS_DE_14_A"/>
                              <w:bookmarkEnd w:id="16"/>
                              <w:r>
                                <w:fldChar w:fldCharType="begin" w:fldLock="0" w:dirty="0"/>
                              </w:r>
                              <w:r>
                                <w:rPr>
                                  <w:noProof/>
                                </w:rPr>
                                <w:instrText xml:space="preserve"> TC "REPRESENTANTS LEGALS DELS MENORS DE 14 ANYS PARTICIPANTS EN CONCURSOS, PROMOCIONS, ACTES, ACTIVITATS I ESDEVENIMENTS CULTURALS" \f C \l "2" </w:instrText>
                              </w:r>
                              <w:r>
                                <w:fldChar w:fldCharType="end" w:fldLock="0" w:dirty="0"/>
                              </w:r>
                              <w:r>
                                <w:rPr>
                                  <w:rFonts w:ascii="Arial" w:hAnsi="Arial" w:eastAsia="Arial"/>
                                  <w:color w:val="000000"/>
                                  <w:sz w:val="20"/>
                                </w:rPr>
                                <w:t xml:space="preserve">REPRESENTANTS LEGALS DELS MENORS DE 14 ANYS PARTICIPANTS EN CONCURSOS, PROMOCIONS, ACTES, ACTIVITATS I ESDEVENIMENTS CULTURALS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Obligació legal</w:t>
                              </w:r>
                              <w:r>
                                <w:rPr>
                                  <w:rFonts w:ascii="Arial" w:hAnsi="Arial" w:eastAsia="Arial"/>
                                  <w:color w:val="000000"/>
                                  <w:sz w:val="20"/>
                                </w:rPr>
                                <w:br/>
                                <w:t xml:space="preserve">     *article 7 de la Llei orgànica 3/2018, de 5 de desembre, de protecció de dades personals i garantia dels drets digitals.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inscripció a concursos, actes, activitats i esdeveniments culturals organitzats pel CPNL dels representants dels menors de 14 anys.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o quan ja no siguin necessàries per a l'activitat per a la qual s'han obtingut. Les imatges no es poden cancel·lar amb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Mesures bàsiques i les pròpies de l'aplicació, si s'escau.</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bl>
          <w:p>
            <w:pPr>
              <w:spacing w:after="0" w:line="240" w:lineRule="auto"/>
            </w:pPr>
          </w:p>
        </w:tc>
      </w:tr>
      <w:tr>
        <w:trPr>
          <w:trHeight w:val="521" w:hRule="atLeast"/>
        </w:trPr>
        <w:tc>
          <w:tcPr>
            <w:tcW w:w="161" w:type="dxa"/>
          </w:tcPr>
          <w:p>
            <w:pPr>
              <w:pStyle w:val="EmptyCellLayoutStyle"/>
              <w:spacing w:after="0" w:line="240" w:lineRule="auto"/>
            </w:pPr>
          </w:p>
        </w:tc>
        <w:tc>
          <w:tcPr>
            <w:tcW w:w="9471" w:type="dxa"/>
          </w:tcPr>
          <w:p>
            <w:pPr>
              <w:pStyle w:val="EmptyCellLayoutStyle"/>
              <w:spacing w:after="0" w:line="240" w:lineRule="auto"/>
            </w:pPr>
          </w:p>
        </w:tc>
      </w:tr>
    </w:tbl>
    <w:p>
      <w:pPr>
        <w:spacing w:after="0" w:line="240" w:lineRule="auto"/>
      </w:pPr>
    </w:p>
    <w:sectPr w:rsidRPr="" w:rsidDel="" w:rsidR="" w:rsidSect="">
      <w:pgSz w:w="11905" w:h="16837"/>
      <w:pgMar w:top="1133" w:right="1133" w:bottom="1133" w:left="1133" w:header="" w:footer="" w:gutter=""/>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Rp_informeAT</dc:title>
</cp:coreProperties>
</file>